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2A6E3" w14:textId="69B3BBA7" w:rsidR="0097568D" w:rsidRPr="0097568D" w:rsidRDefault="0097568D" w:rsidP="0097568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hyperlink r:id="rId4" w:history="1">
        <w:r w:rsidRPr="0097568D">
          <w:rPr>
            <w:rStyle w:val="a3"/>
            <w:rFonts w:ascii="Times New Roman" w:hAnsi="Times New Roman" w:cs="Times New Roman"/>
            <w:b/>
            <w:bCs/>
            <w:color w:val="auto"/>
            <w:u w:val="none"/>
            <w:shd w:val="clear" w:color="auto" w:fill="FFFFFF"/>
          </w:rPr>
          <w:t>Федеральный закон от 29.07.2017 N 217-ФЗ (ред. от 31.07.2025)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  </w:r>
      </w:hyperlink>
    </w:p>
    <w:p w14:paraId="038341C7" w14:textId="77777777" w:rsidR="0097568D" w:rsidRDefault="0097568D" w:rsidP="0097568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</w:p>
    <w:p w14:paraId="130D2AE2" w14:textId="0139050C" w:rsidR="0097568D" w:rsidRPr="0097568D" w:rsidRDefault="0097568D" w:rsidP="0097568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</w:pPr>
      <w:r w:rsidRPr="0097568D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Статья 14. Взносы членов товарищества</w:t>
      </w:r>
    </w:p>
    <w:p w14:paraId="2C7A692D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1. Взносы членов товарищества могут быть следующих видов:</w:t>
      </w:r>
    </w:p>
    <w:p w14:paraId="4BD5C855" w14:textId="0EEB8BE3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1) членские взносы;</w:t>
      </w:r>
    </w:p>
    <w:p w14:paraId="7B7236F8" w14:textId="3F5AC543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2) целевые взносы.</w:t>
      </w:r>
    </w:p>
    <w:p w14:paraId="772EDC52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2. Обязанность по внесению взносов распространяется на всех членов товарищества.</w:t>
      </w:r>
    </w:p>
    <w:p w14:paraId="5BC71B8A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3. Членские взносы вносятся членами товарищества в порядке, установленном уставом товарищества, на расчетный счет товарищества.</w:t>
      </w:r>
    </w:p>
    <w:p w14:paraId="007870C0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4. Периодичность (не может быть чаще одного раза в месяц) и срок внесения членских взносов определяются уставом товарищества.</w:t>
      </w:r>
    </w:p>
    <w:p w14:paraId="278A33A5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5. Членские взносы могут быть использованы исключительно на расходы, связанные:</w:t>
      </w:r>
    </w:p>
    <w:p w14:paraId="7BEBF5C4" w14:textId="13C744D6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1) с содержанием имущества общего пользования товарищества, в том числе уплатой арендных платежей за данное имущество;</w:t>
      </w:r>
    </w:p>
    <w:p w14:paraId="264047B8" w14:textId="012AE06A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2) с осуществлением расчетов с организациями, осуществляющими теплоснабжение, электроснабжение, газоснабжение, водоснабжение, водоотведение на основании договоров, заключенных с этими организациями;</w:t>
      </w:r>
    </w:p>
    <w:p w14:paraId="70B1A3F9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3) с осуществлением расчетов за услуги по обращению с твердыми коммунальными отходами;</w:t>
      </w:r>
    </w:p>
    <w:p w14:paraId="2121D2A0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4) с благоустройством территории садоводства или огородничества;</w:t>
      </w:r>
    </w:p>
    <w:p w14:paraId="0A4E13C3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5) с охраной территории садоводства или огородничества и обеспечением в границах такой территории пожарной безопасности;</w:t>
      </w:r>
    </w:p>
    <w:p w14:paraId="589AA132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6) с проведением аудиторских проверок товарищества;</w:t>
      </w:r>
    </w:p>
    <w:p w14:paraId="3063083B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7) с выплатой заработной платы лицам, с которыми товариществом заключены трудовые договоры;</w:t>
      </w:r>
    </w:p>
    <w:p w14:paraId="366DF901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8) с организацией и проведением общих собраний членов товарищества, выполнением решений этих собраний;</w:t>
      </w:r>
    </w:p>
    <w:p w14:paraId="77F74599" w14:textId="10E41E9A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9) с уплатой налогов и сборов, связанных с деятельностью товарищества, в соответствии с законодательством о налогах и сборах.</w:t>
      </w:r>
    </w:p>
    <w:p w14:paraId="797CB916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6. Целевые взносы вносятся членами товарищества на расчетный счет товарищества по решению общего собрания членов товарищества, определяющему их размер и срок внесения, в порядке, установленном уставом товарищества, и могут быть направлены на расходы, исключительно связанные:</w:t>
      </w:r>
    </w:p>
    <w:p w14:paraId="083FE138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1) с подготовкой документов, необходимых для образования земельного участка, находящегося в государственной или муниципальной собственности, в целях дальнейшего предоставления товариществу такого земельного участка;</w:t>
      </w:r>
    </w:p>
    <w:p w14:paraId="67B4ADCA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2) с подготовкой документации по планировке территории в отношении территории садоводства или огородничества;</w:t>
      </w:r>
    </w:p>
    <w:p w14:paraId="6D86F1E2" w14:textId="47C2A84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3) с проведением кадастровых работ для целей внесения в Единый государственный реестр недвижимости сведений о садовых или огородных земельных участках, земельных участках общего назначения, об иных объектах недвижимости, относящихся к имуществу общего пользования;</w:t>
      </w:r>
    </w:p>
    <w:p w14:paraId="6CFA6695" w14:textId="2C0C3946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4) с созданием или приобретением необходимого для деятельности товарищества имущества общего пользования;</w:t>
      </w:r>
    </w:p>
    <w:p w14:paraId="5D3E4927" w14:textId="0AB0F5AF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97568D">
        <w:rPr>
          <w:rFonts w:ascii="Times New Roman" w:eastAsia="Times New Roman" w:hAnsi="Times New Roman" w:cs="Times New Roman"/>
          <w:lang w:eastAsia="ru-RU"/>
        </w:rPr>
        <w:t>5) с реализацией мероприятий, предусмотренных решением общего собрания членов товарищества.</w:t>
      </w:r>
    </w:p>
    <w:p w14:paraId="39895414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7. В случаях, предусмотренных уставом товарищества, размер взносов может отличаться, если это обусловлено различным объемом использования имущества общего пользования в зависимости от размера садового или огородного земельного участка и (или) суммарного размера площади объектов недвижимого имущества, расположенных на таком земельном участке, или размера доли в праве общей долевой собственности на такой земельный участок и (или) расположенные на нем объекты недвижимого имущества.</w:t>
      </w:r>
    </w:p>
    <w:p w14:paraId="728A2C21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7.1. Указываемые в уставе товарищества правила определения размера взносов должны предусматривать порядок расчета размера взносов в виде текстового описания и (или) формулы расчета.</w:t>
      </w:r>
    </w:p>
    <w:p w14:paraId="0622C18F" w14:textId="49C05503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7.2. Плата, предусмотренная </w:t>
      </w:r>
      <w:hyperlink r:id="rId5" w:anchor="dst100028" w:history="1">
        <w:r w:rsidRPr="0097568D">
          <w:rPr>
            <w:rFonts w:ascii="Times New Roman" w:eastAsia="Times New Roman" w:hAnsi="Times New Roman" w:cs="Times New Roman"/>
            <w:u w:val="single"/>
            <w:lang w:eastAsia="ru-RU"/>
          </w:rPr>
          <w:t>статьей 5</w:t>
        </w:r>
      </w:hyperlink>
      <w:r w:rsidRPr="0097568D">
        <w:rPr>
          <w:rFonts w:ascii="Times New Roman" w:eastAsia="Times New Roman" w:hAnsi="Times New Roman" w:cs="Times New Roman"/>
          <w:color w:val="000000"/>
          <w:lang w:eastAsia="ru-RU"/>
        </w:rPr>
        <w:t> настоящего Федерального закона, рассчитывается в порядке, установленном уставом товарищества для определения размера взносов.</w:t>
      </w:r>
    </w:p>
    <w:p w14:paraId="00F3247B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8. Размер взносов определяется на основании приходно-расходной сметы товарищества и финансово-экономического обоснования, утвержденных общим собранием членов товарищества.</w:t>
      </w:r>
    </w:p>
    <w:p w14:paraId="0ACB2A2D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9. Уставом товарищества может быть установлен порядок взимания и размер пеней в случае несвоевременной уплаты взносов.</w:t>
      </w:r>
    </w:p>
    <w:p w14:paraId="1FF33510" w14:textId="77777777" w:rsidR="0097568D" w:rsidRPr="0097568D" w:rsidRDefault="0097568D" w:rsidP="0097568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7568D">
        <w:rPr>
          <w:rFonts w:ascii="Times New Roman" w:eastAsia="Times New Roman" w:hAnsi="Times New Roman" w:cs="Times New Roman"/>
          <w:lang w:eastAsia="ru-RU"/>
        </w:rPr>
        <w:t>10. В случае неуплаты взносов и пеней товарищество вправе взыскать их в судебном порядке.</w:t>
      </w:r>
    </w:p>
    <w:p w14:paraId="2C24047B" w14:textId="77777777" w:rsidR="00210C36" w:rsidRPr="0097568D" w:rsidRDefault="00210C36" w:rsidP="0097568D">
      <w:pPr>
        <w:spacing w:line="240" w:lineRule="auto"/>
        <w:jc w:val="center"/>
        <w:rPr>
          <w:rFonts w:ascii="Times New Roman" w:hAnsi="Times New Roman" w:cs="Times New Roman"/>
        </w:rPr>
      </w:pPr>
    </w:p>
    <w:sectPr w:rsidR="00210C36" w:rsidRPr="0097568D" w:rsidSect="0097568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8D"/>
    <w:rsid w:val="00210C36"/>
    <w:rsid w:val="0097568D"/>
    <w:rsid w:val="00D0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3B9B"/>
  <w15:chartTrackingRefBased/>
  <w15:docId w15:val="{30BD1636-6D34-470C-9331-A87223D4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68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756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9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61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8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936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05573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6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637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6308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11785/1baaa2bc40a356e2fb99c7c7503420910dd574aa/" TargetMode="External"/><Relationship Id="rId4" Type="http://schemas.openxmlformats.org/officeDocument/2006/relationships/hyperlink" Target="https://www.consultant.ru/document/cons_doc_LAW_2211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SNTSN2</dc:creator>
  <cp:keywords/>
  <dc:description/>
  <cp:lastModifiedBy>SNTSN2</cp:lastModifiedBy>
  <cp:revision>1</cp:revision>
  <dcterms:created xsi:type="dcterms:W3CDTF">2026-09-04T10:55:00Z</dcterms:created>
  <dcterms:modified xsi:type="dcterms:W3CDTF">2026-09-04T11:20:00Z</dcterms:modified>
</cp:coreProperties>
</file>